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66F6C" w:rsidRPr="00D66F6C" w:rsidTr="00C07F89">
        <w:tc>
          <w:tcPr>
            <w:tcW w:w="9570" w:type="dxa"/>
          </w:tcPr>
          <w:p w:rsidR="00D66F6C" w:rsidRPr="00D66F6C" w:rsidRDefault="00D66F6C" w:rsidP="00D66F6C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6F6C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92FA375" wp14:editId="039E7F92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F6C" w:rsidRPr="00D66F6C" w:rsidRDefault="00D66F6C" w:rsidP="00D66F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D66F6C" w:rsidRPr="00D66F6C" w:rsidRDefault="00D66F6C" w:rsidP="00D66F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D66F6C" w:rsidRPr="00D66F6C" w:rsidRDefault="00D66F6C" w:rsidP="00D66F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D66F6C" w:rsidRPr="00D66F6C" w:rsidRDefault="00D66F6C" w:rsidP="00D66F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четвертого созыва</w:t>
            </w:r>
          </w:p>
          <w:p w:rsidR="00D66F6C" w:rsidRPr="00D66F6C" w:rsidRDefault="00D66F6C" w:rsidP="00D66F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6F6C" w:rsidRP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66F6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D66F6C" w:rsidRPr="00D66F6C" w:rsidRDefault="00D66F6C" w:rsidP="00D66F6C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66F6C" w:rsidRP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15.03.2021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№ 28</w:t>
      </w:r>
    </w:p>
    <w:p w:rsid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F6C" w:rsidRP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Pr="00D66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реализации инициативных проектов </w:t>
      </w:r>
      <w:proofErr w:type="gramStart"/>
      <w:r w:rsidRPr="00D66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D66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6F6C" w:rsidRP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proofErr w:type="gramStart"/>
      <w:r w:rsidRPr="00D66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образовании</w:t>
      </w:r>
      <w:proofErr w:type="gramEnd"/>
      <w:r w:rsidRPr="00D66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Рязановский сельсовет»</w:t>
      </w:r>
    </w:p>
    <w:p w:rsidR="00D66F6C" w:rsidRP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74 и 86 Бюджетного кодекса Российской Федерации, статьи 26</w:t>
      </w:r>
      <w:r w:rsidRPr="00D66F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hyperlink r:id="rId8" w:history="1">
        <w:r w:rsidRPr="00D6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D66F6C">
        <w:rPr>
          <w:rFonts w:ascii="Calibri" w:eastAsia="Times New Roman" w:hAnsi="Calibri" w:cs="Times New Roman"/>
          <w:lang w:eastAsia="ru-RU"/>
        </w:rPr>
        <w:t xml:space="preserve">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участия жителей муниципального образования Рязановский сельсовет в осуществлении местного самоуправления и решения вопросов местного значения посредством реализации на территории муниципального образования Рязановский сельсовет  инициативных проектов, руководствуясь  Уставом МО Рязановский сельсовет, Совет депутатов муниципального образования</w:t>
      </w:r>
      <w:r w:rsidRPr="00D66F6C">
        <w:rPr>
          <w:rFonts w:ascii="Calibri" w:eastAsia="Times New Roman" w:hAnsi="Calibri" w:cs="Times New Roman"/>
          <w:lang w:eastAsia="ru-RU"/>
        </w:rPr>
        <w:t xml:space="preserve"> 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 решил</w:t>
      </w:r>
      <w:r w:rsidRPr="00D66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D66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реализации инициативных проектов в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Рязановский сельсовет  согласно приложению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решение подлежит  размещению на официальном сайте </w:t>
      </w:r>
      <w:r w:rsidRPr="00D66F6C">
        <w:rPr>
          <w:rFonts w:ascii="Calibri" w:eastAsia="Times New Roman" w:hAnsi="Calibri" w:cs="Times New Roman"/>
          <w:lang w:eastAsia="ru-RU"/>
        </w:rPr>
        <w:t xml:space="preserve">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Рязановский сельсовет: http://аморс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 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 после официального обнародования и распространяется на правоотношения, возникшие с 01.01.2021года 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С.С. Свиридова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А.В. Брусилов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EF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решению Совета депутатов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66F6C" w:rsidRPr="00D66F6C" w:rsidRDefault="00D66F6C" w:rsidP="00D6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B050"/>
          <w:sz w:val="28"/>
          <w:szCs w:val="28"/>
          <w:highlight w:val="yellow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9" w:history="1">
        <w:r w:rsidRPr="00D66F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мероприятий, имеющих приоритетное значение для жителей муниципального образования Рязановский сельсовет или его части, путем реализации инициативных проектов.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Рязановский сельсовет или его части по решению вопросов местного значения или иных вопросов, право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Задачами реализации инициативных проектов являются: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Принципами реализации инициативных проектов являются: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равная доступность для всех граждан муниципального образования в выдвижении инициативных проектов;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конкурсный отбор инициативных проектов;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3)открытость и гласность процедур при выдвижении и рассмотрении инициативных проектов.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Участниками реализации инициативных проектов являются: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администрация муниципального образования;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население муниципального образования;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территориального общественного самоуправления;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товарищества собственников жилья;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реализации проекта (далее - организации и другие внебюджетные источники).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инициативного проекта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Инициаторами инициативного проекта (далее – инициаторы проекта) вправе выступать: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пяти граждан, достигших шестнадцатилетнего возраста и проживающих на территории</w:t>
      </w:r>
      <w:r w:rsidRPr="00D6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Рязановский сельсовет;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товарищества собственников жилья.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Рязановский сельсовет или его части;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планируемые сроки реализации инициативного проекта;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инициативного проекта, за исключением планируемого объема инициативных платежей;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выразивших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принять участие в </w:t>
      </w:r>
      <w:proofErr w:type="spell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 Рязановский сельсовет, на которой могут реализовываться инициативные проекты,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 Решением совета депутатов муниципального образования (дата, №) (далее – Порядок определения территории);</w:t>
      </w:r>
      <w:proofErr w:type="gramEnd"/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протокол собрания (конференции) граждан по вопросу о поддержке и выдвижении инициативного проекта жителями</w:t>
      </w:r>
      <w:r w:rsidRPr="00D66F6C">
        <w:rPr>
          <w:rFonts w:ascii="Calibri" w:eastAsia="Times New Roman" w:hAnsi="Calibri" w:cs="Times New Roman"/>
          <w:lang w:eastAsia="ru-RU"/>
        </w:rPr>
        <w:t xml:space="preserve">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Рязановский сельсовет</w:t>
      </w:r>
      <w:r w:rsidRPr="00D66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указание на способ информирования администрацией муниципального образования инициаторов проекта о рассмотрении инициативного проекта.</w:t>
      </w:r>
      <w:r w:rsidRPr="00D66F6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D66F6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1"/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совета депутатов муниципального образования (дата, №). 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внесении инициативного проекта в администрацию 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и время проведения собрания (конференции) граждан;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граждан, присутствовавших на собрании (конференции);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повестку дня о рассмотрении следующих вопросов: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утверждение инициативного проекта;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утверждение перечня и объемов работ по инициативному проекту;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принятие решения о размере </w:t>
      </w:r>
      <w:proofErr w:type="spell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жителями муниципального образования;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уровень </w:t>
      </w:r>
      <w:proofErr w:type="spell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уровень </w:t>
      </w:r>
      <w:proofErr w:type="spell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за счет бюджета муниципального образования;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принятие решения о порядке и сроках сбора средств </w:t>
      </w:r>
      <w:proofErr w:type="spell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проекта;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D66F6C" w:rsidRPr="00D66F6C" w:rsidRDefault="00D66F6C" w:rsidP="00D66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МО в течение трех рабочих дней со дня внесения инициативного проекта обнародует и размещает на официальном сайте муниципального образования Рязановский сельсовет  в информационно-телекоммуникационной сети «Интернет» следующую информацию: 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 инициаторах проекта;</w:t>
      </w:r>
    </w:p>
    <w:p w:rsidR="00D66F6C" w:rsidRPr="00D66F6C" w:rsidRDefault="00D66F6C" w:rsidP="00D6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</w:t>
      </w:r>
      <w:r w:rsidRPr="00D66F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Граждане, проживающие на территории муниципального образования Рязановский сельсовет</w:t>
      </w:r>
      <w:r w:rsidRPr="00D66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шестнадцатилетнего возраста</w:t>
      </w:r>
      <w:r w:rsidRPr="00D66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желающие выразить свое мнение, в сроки, установленные в соответствии с пунктом 3 части 12 настоящего Порядка, направляют в адрес администрации муниципального образования замечания и предложения по инициативному проекту.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муниципального образования,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инициативного проекта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Инициативный проект рассматривается администрацией муниципального образования в течение 30 дней со дня его внесения. По результатам рассмотрения инициативного проекта администрация муниципального образования принимает одно из следующих решений: 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Администрация муниципального образования вправе отказать в поддержке инициативного проекта в случаях: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Оренбургской области, уставу</w:t>
      </w:r>
      <w:r w:rsidRPr="00D66F6C">
        <w:rPr>
          <w:rFonts w:ascii="Calibri" w:eastAsia="Times New Roman" w:hAnsi="Calibri" w:cs="Times New Roman"/>
          <w:lang w:eastAsia="ru-RU"/>
        </w:rPr>
        <w:t xml:space="preserve">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Рязановский сельсовет;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невозможности реализации инициативного проекта ввиду отсутствия у органов местного самоуправления муниципального образования Рязановский сельсовет необходимых полномочий и прав;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наличия возможности решения описанной в инициативном проекте проблемы более эффективным способом;</w:t>
      </w:r>
    </w:p>
    <w:p w:rsidR="00D66F6C" w:rsidRPr="00D66F6C" w:rsidRDefault="00D66F6C" w:rsidP="00D66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инициативного проекта не прошедшим конкурсный отбор.</w:t>
      </w:r>
    </w:p>
    <w:p w:rsidR="00D66F6C" w:rsidRPr="00D66F6C" w:rsidRDefault="00D66F6C" w:rsidP="00D66F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случае, если в администрацию муниципального образования внесено несколько инициативных проектов, в том числе с постановкой аналогичных по содержанию приоритетных проблем, то администрация муниципального образования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 Рязановский сельсовет, утвержденном Решением совета депутатов муниципального образования (дата №)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об этом инициаторов проектов.</w:t>
      </w:r>
    </w:p>
    <w:p w:rsidR="00D66F6C" w:rsidRPr="00D66F6C" w:rsidRDefault="00D66F6C" w:rsidP="00D66F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муниципального образования (дата №).</w:t>
      </w:r>
    </w:p>
    <w:p w:rsidR="00D66F6C" w:rsidRPr="00D66F6C" w:rsidRDefault="00D66F6C" w:rsidP="00D6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финансирования инициативного проекта</w:t>
      </w:r>
    </w:p>
    <w:p w:rsidR="00D66F6C" w:rsidRPr="00D66F6C" w:rsidRDefault="00D66F6C" w:rsidP="00D6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D66F6C" w:rsidRPr="00D66F6C" w:rsidRDefault="00D66F6C" w:rsidP="00D6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D66F6C" w:rsidRPr="00D66F6C" w:rsidRDefault="00D66F6C" w:rsidP="00D66F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Администрацией муниципального образования может ежегодно устанавливаться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D66F6C" w:rsidRPr="00D66F6C" w:rsidRDefault="00D66F6C" w:rsidP="00D66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Не допускается выделение финансовых средств из местного бюджета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F6C" w:rsidRPr="00D66F6C" w:rsidRDefault="00D66F6C" w:rsidP="00D66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объекты частной собственности;</w:t>
      </w:r>
    </w:p>
    <w:p w:rsidR="00D66F6C" w:rsidRPr="00D66F6C" w:rsidRDefault="00D66F6C" w:rsidP="00D66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D66F6C" w:rsidRPr="00D66F6C" w:rsidRDefault="00D66F6C" w:rsidP="00D66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ремонт или строительство объектов культового и религиозного назначения;</w:t>
      </w:r>
    </w:p>
    <w:p w:rsidR="00D66F6C" w:rsidRPr="00D66F6C" w:rsidRDefault="00D66F6C" w:rsidP="00D66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проекты, которые могут иметь негативное воздействие на окружающую среду;</w:t>
      </w:r>
    </w:p>
    <w:p w:rsidR="00D66F6C" w:rsidRPr="00D66F6C" w:rsidRDefault="00D66F6C" w:rsidP="00D66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ремонт или строительство административных зданий, сооружений, </w:t>
      </w: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частной собственностью</w:t>
      </w:r>
    </w:p>
    <w:p w:rsidR="00D66F6C" w:rsidRPr="00D66F6C" w:rsidRDefault="00D66F6C" w:rsidP="00D66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объекты, используемые для нужд органов местного самоуправления.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Документальным подтверждением </w:t>
      </w:r>
      <w:proofErr w:type="spell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инициативного проекта.</w:t>
      </w:r>
      <w:proofErr w:type="gramEnd"/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</w:t>
      </w:r>
      <w:proofErr w:type="gramStart"/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6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инициативного проекта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Информация о ходе рассмотрения инициативного проекта администрацией муниципального образования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обнародованию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Отчет администрации муниципального образования по итогам реализации инициативного проекта подлежит  обнародованию и размещению на официальном сайте администрации муниципального образования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66F6C" w:rsidRPr="00D66F6C" w:rsidRDefault="00D66F6C" w:rsidP="00D66F6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6F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расчета и возврата сумм инициативных платежей</w:t>
      </w:r>
    </w:p>
    <w:p w:rsidR="00D66F6C" w:rsidRPr="00D66F6C" w:rsidRDefault="00D66F6C" w:rsidP="00D66F6C">
      <w:pPr>
        <w:ind w:firstLine="709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66F6C" w:rsidRPr="00D66F6C" w:rsidRDefault="00D66F6C" w:rsidP="00D66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F6C">
        <w:rPr>
          <w:rFonts w:ascii="Times New Roman" w:eastAsia="Times New Roman" w:hAnsi="Times New Roman" w:cs="Times New Roman"/>
          <w:color w:val="000000"/>
          <w:sz w:val="28"/>
          <w:szCs w:val="28"/>
        </w:rPr>
        <w:t>31. В случае</w:t>
      </w:r>
      <w:proofErr w:type="gramStart"/>
      <w:r w:rsidRPr="00D66F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66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D66F6C" w:rsidRPr="00D66F6C" w:rsidRDefault="00D66F6C" w:rsidP="00D66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66F6C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D66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инициативного проекта.</w:t>
      </w:r>
    </w:p>
    <w:p w:rsidR="00D66F6C" w:rsidRPr="00D66F6C" w:rsidRDefault="00D66F6C" w:rsidP="00D66F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F6C">
        <w:rPr>
          <w:rFonts w:ascii="Times New Roman" w:eastAsia="Times New Roman" w:hAnsi="Times New Roman" w:cs="Times New Roman"/>
          <w:color w:val="000000"/>
          <w:sz w:val="28"/>
          <w:szCs w:val="28"/>
        </w:rPr>
        <w:t>33. Инициаторы проекта предоставляют заявление на возврат денежных средств с указанием банковских реквизитов в целях возврата инициативных платежей, которые в течение 5 рабочих дней со дня поступления заявления осуществляет возврат денежных средств.</w:t>
      </w: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</w:t>
      </w:r>
    </w:p>
    <w:p w:rsidR="00D66F6C" w:rsidRPr="00D66F6C" w:rsidRDefault="00D66F6C" w:rsidP="00D66F6C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положению о реализации инициативных проектов на территории муниципального образования </w:t>
      </w:r>
    </w:p>
    <w:p w:rsidR="00D66F6C" w:rsidRPr="00D66F6C" w:rsidRDefault="00D66F6C" w:rsidP="00D66F6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Протокол</w:t>
      </w:r>
    </w:p>
    <w:p w:rsidR="00D66F6C" w:rsidRPr="00D66F6C" w:rsidRDefault="00D66F6C" w:rsidP="00D66F6C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>собрания (конференции) граждан о поддержке (отклонении) инициативног</w:t>
      </w:r>
      <w:proofErr w:type="gramStart"/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ных</w:t>
      </w:r>
      <w:proofErr w:type="spellEnd"/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</w:t>
      </w:r>
    </w:p>
    <w:p w:rsidR="00D66F6C" w:rsidRPr="00D66F6C" w:rsidRDefault="00D66F6C" w:rsidP="00D66F6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проект</w:t>
      </w:r>
      <w:proofErr w:type="gramStart"/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ов</w:t>
      </w:r>
      <w:proofErr w:type="spellEnd"/>
      <w:r w:rsidRPr="00D66F6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)для его (их) реализации на территории муниципального образования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 собрания (конференции): «_____»  ____________ 20____ г.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проведения собрания (конференции):_________________________________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начала собрани</w:t>
      </w:r>
      <w:proofErr w:type="gramStart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я(</w:t>
      </w:r>
      <w:proofErr w:type="gramEnd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конференции): </w:t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____час. _________ мин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окончания собрани</w:t>
      </w:r>
      <w:proofErr w:type="gramStart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я(</w:t>
      </w:r>
      <w:proofErr w:type="gramEnd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конференции): _______ час ________ мин.</w:t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Повестка собрани</w:t>
      </w:r>
      <w:proofErr w:type="gramStart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я(</w:t>
      </w:r>
      <w:proofErr w:type="gramEnd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конференции): _________________________________________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Ход собрания (конференции): ______________________________________________</w:t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66F6C" w:rsidRPr="00D66F6C" w:rsidRDefault="00D66F6C" w:rsidP="00D66F6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D66F6C" w:rsidRPr="00D66F6C" w:rsidRDefault="00D66F6C" w:rsidP="00D66F6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Итоги собрани</w:t>
      </w:r>
      <w:proofErr w:type="gramStart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я(</w:t>
      </w:r>
      <w:proofErr w:type="gramEnd"/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конференции) и принятые решения: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82"/>
        <w:gridCol w:w="2553"/>
      </w:tblGrid>
      <w:tr w:rsidR="00D66F6C" w:rsidRPr="00D66F6C" w:rsidTr="00D66F6C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Итоги собрани</w:t>
            </w:r>
            <w:proofErr w:type="gramStart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я(</w:t>
            </w:r>
            <w:proofErr w:type="gramEnd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конференции)</w:t>
            </w: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принятые решения</w:t>
            </w:r>
          </w:p>
        </w:tc>
      </w:tr>
      <w:tr w:rsidR="00D66F6C" w:rsidRPr="00D66F6C" w:rsidTr="00D66F6C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Количество гражда</w:t>
            </w:r>
            <w:proofErr w:type="gramStart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н(</w:t>
            </w:r>
            <w:proofErr w:type="gramEnd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66F6C" w:rsidRPr="00D66F6C" w:rsidTr="00D66F6C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Наименования инициативног</w:t>
            </w:r>
            <w:proofErr w:type="gramStart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о(</w:t>
            </w:r>
            <w:proofErr w:type="spellStart"/>
            <w:proofErr w:type="gramEnd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ых</w:t>
            </w:r>
            <w:proofErr w:type="spellEnd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) проекта(</w:t>
            </w:r>
            <w:proofErr w:type="spellStart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ов</w:t>
            </w:r>
            <w:proofErr w:type="spellEnd"/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66F6C" w:rsidRPr="00D66F6C" w:rsidTr="00D66F6C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66F6C" w:rsidRPr="00D66F6C" w:rsidTr="00D66F6C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66F6C" w:rsidRPr="00D66F6C" w:rsidTr="00D66F6C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66F6C" w:rsidRPr="00D66F6C" w:rsidTr="00D66F6C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66F6C" w:rsidRPr="00D66F6C" w:rsidTr="00D66F6C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F6C" w:rsidRPr="00D66F6C" w:rsidRDefault="00D66F6C" w:rsidP="00D66F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66F6C">
              <w:rPr>
                <w:rFonts w:ascii="PT Astra Serif" w:eastAsia="Times New Roman" w:hAnsi="PT Astra Serif" w:cs="Times New Roman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F6C" w:rsidRPr="00D66F6C" w:rsidRDefault="00D66F6C" w:rsidP="00D66F6C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Председатель: </w:t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 _______________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  </w:t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Секретарь: </w:t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 _______________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  </w:t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Представитель администрации муниципального образования: 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66F6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  ______________ _____________________</w:t>
      </w:r>
    </w:p>
    <w:p w:rsidR="00D66F6C" w:rsidRPr="00D66F6C" w:rsidRDefault="00D66F6C" w:rsidP="00D66F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должность  </w:t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подпись  </w:t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  <w:r w:rsidRPr="00D66F6C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D66F6C" w:rsidRPr="00D66F6C" w:rsidRDefault="00D66F6C" w:rsidP="00D66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6C" w:rsidRPr="00D66F6C" w:rsidRDefault="00D66F6C" w:rsidP="00D66F6C">
      <w:pPr>
        <w:rPr>
          <w:rFonts w:ascii="Calibri" w:eastAsia="Calibri" w:hAnsi="Calibri" w:cs="Times New Roman"/>
        </w:rPr>
      </w:pPr>
    </w:p>
    <w:p w:rsidR="00571FB7" w:rsidRDefault="00571FB7"/>
    <w:sectPr w:rsidR="0057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7F" w:rsidRDefault="00E8757F" w:rsidP="00D66F6C">
      <w:pPr>
        <w:spacing w:after="0" w:line="240" w:lineRule="auto"/>
      </w:pPr>
      <w:r>
        <w:separator/>
      </w:r>
    </w:p>
  </w:endnote>
  <w:endnote w:type="continuationSeparator" w:id="0">
    <w:p w:rsidR="00E8757F" w:rsidRDefault="00E8757F" w:rsidP="00D6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7F" w:rsidRDefault="00E8757F" w:rsidP="00D66F6C">
      <w:pPr>
        <w:spacing w:after="0" w:line="240" w:lineRule="auto"/>
      </w:pPr>
      <w:r>
        <w:separator/>
      </w:r>
    </w:p>
  </w:footnote>
  <w:footnote w:type="continuationSeparator" w:id="0">
    <w:p w:rsidR="00E8757F" w:rsidRDefault="00E8757F" w:rsidP="00D66F6C">
      <w:pPr>
        <w:spacing w:after="0" w:line="240" w:lineRule="auto"/>
      </w:pPr>
      <w:r>
        <w:continuationSeparator/>
      </w:r>
    </w:p>
  </w:footnote>
  <w:footnote w:id="1">
    <w:p w:rsidR="00D66F6C" w:rsidRDefault="00D66F6C" w:rsidP="00D66F6C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i/>
          <w:sz w:val="18"/>
          <w:szCs w:val="18"/>
        </w:rPr>
        <w:t>Порядком могут быть предусмотрены иные сведения, которые должен содержать инициативный проект</w:t>
      </w:r>
    </w:p>
  </w:footnote>
  <w:footnote w:id="2">
    <w:p w:rsidR="00D66F6C" w:rsidRDefault="00D66F6C" w:rsidP="00D66F6C">
      <w:pPr>
        <w:pStyle w:val="a3"/>
        <w:spacing w:after="0"/>
        <w:ind w:firstLine="709"/>
        <w:jc w:val="both"/>
        <w:rPr>
          <w:i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i/>
          <w:sz w:val="20"/>
          <w:szCs w:val="20"/>
        </w:rPr>
        <w:t>В случае</w:t>
      </w:r>
      <w:proofErr w:type="gramStart"/>
      <w:r>
        <w:rPr>
          <w:i/>
          <w:sz w:val="20"/>
          <w:szCs w:val="20"/>
        </w:rPr>
        <w:t>,</w:t>
      </w:r>
      <w:proofErr w:type="gramEnd"/>
      <w:r>
        <w:rPr>
          <w:i/>
          <w:sz w:val="20"/>
          <w:szCs w:val="20"/>
        </w:rPr>
        <w:t xml:space="preserve"> если муниципальное образование не имеет возможности размещать указанную информацию в сети «Интернет», данная информация размещается на официальном сайте органа местного самоуправления муниципального района. 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муниципального образования. 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66F6C" w:rsidRDefault="00D66F6C" w:rsidP="00D66F6C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6F"/>
    <w:rsid w:val="00314BF9"/>
    <w:rsid w:val="0051146F"/>
    <w:rsid w:val="00571FB7"/>
    <w:rsid w:val="00D66F6C"/>
    <w:rsid w:val="00E8757F"/>
    <w:rsid w:val="00E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F6C"/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66F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6F6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66F6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F6C"/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D66F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66F6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66F6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3185</Words>
  <Characters>18157</Characters>
  <Application>Microsoft Office Word</Application>
  <DocSecurity>0</DocSecurity>
  <Lines>151</Lines>
  <Paragraphs>42</Paragraphs>
  <ScaleCrop>false</ScaleCrop>
  <Company>Microsoft</Company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2021-03-12T05:08:00Z</dcterms:created>
  <dcterms:modified xsi:type="dcterms:W3CDTF">2021-03-12T06:40:00Z</dcterms:modified>
</cp:coreProperties>
</file>