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30" w:rsidRPr="00383030" w:rsidRDefault="00383030" w:rsidP="00383030">
      <w:pPr>
        <w:spacing w:after="0" w:line="640" w:lineRule="atLeast"/>
        <w:outlineLvl w:val="0"/>
        <w:rPr>
          <w:rFonts w:ascii="Times New Roman" w:eastAsia="Times New Roman" w:hAnsi="Times New Roman" w:cs="Times New Roman"/>
          <w:b/>
          <w:bCs/>
          <w:kern w:val="36"/>
          <w:sz w:val="24"/>
          <w:szCs w:val="24"/>
        </w:rPr>
      </w:pPr>
      <w:r w:rsidRPr="00383030">
        <w:rPr>
          <w:rFonts w:ascii="Times New Roman" w:eastAsia="Times New Roman" w:hAnsi="Times New Roman" w:cs="Times New Roman"/>
          <w:b/>
          <w:bCs/>
          <w:kern w:val="36"/>
          <w:sz w:val="24"/>
          <w:szCs w:val="24"/>
        </w:rPr>
        <w:t>Памятки по противодействию экстремизму</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ПАМЯТКА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родителям</w:t>
      </w:r>
      <w:r w:rsidRPr="00383030">
        <w:rPr>
          <w:rFonts w:ascii="Times New Roman" w:hAnsi="Times New Roman" w:cs="Times New Roman"/>
          <w:sz w:val="24"/>
          <w:szCs w:val="24"/>
        </w:rPr>
        <w:br/>
        <w:t>по профилактике экстремизма </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По своим направлениям экстремизм многовекторен.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 экстремизм националистический, религиозный, молодежный.</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гастарбайтеров, занимающих рабочие места и способствующих обвалу цен на рынке труда, разным менталитетом граждан.</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Насколько многообразен и многолик экстремизм ,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xml:space="preserve">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w:t>
      </w:r>
      <w:r w:rsidRPr="00383030">
        <w:rPr>
          <w:rFonts w:ascii="Times New Roman" w:hAnsi="Times New Roman" w:cs="Times New Roman"/>
          <w:sz w:val="24"/>
          <w:szCs w:val="24"/>
        </w:rPr>
        <w:lastRenderedPageBreak/>
        <w:t>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мотивированности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xml:space="preserve">На постоянной основе проводится мониторинг средств массовой информации и информационных ресурсов сети «Интернет» для установления фактов публикаций </w:t>
      </w:r>
      <w:r w:rsidRPr="00383030">
        <w:rPr>
          <w:rFonts w:ascii="Times New Roman" w:hAnsi="Times New Roman" w:cs="Times New Roman"/>
          <w:sz w:val="24"/>
          <w:szCs w:val="24"/>
        </w:rPr>
        <w:lastRenderedPageBreak/>
        <w:t>информации экстремистского содержания, а также несанкционированных митингах и акциях протеста.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Памятка </w:t>
      </w:r>
      <w:r w:rsidRPr="00383030">
        <w:rPr>
          <w:rFonts w:ascii="Times New Roman" w:hAnsi="Times New Roman" w:cs="Times New Roman"/>
          <w:sz w:val="24"/>
          <w:szCs w:val="24"/>
        </w:rPr>
        <w:br/>
        <w:t>по недопущению распространения экстремизма</w:t>
      </w:r>
      <w:r w:rsidRPr="00383030">
        <w:rPr>
          <w:rFonts w:ascii="Times New Roman" w:hAnsi="Times New Roman" w:cs="Times New Roman"/>
          <w:sz w:val="24"/>
          <w:szCs w:val="24"/>
        </w:rPr>
        <w:b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 Уголовного кодекса Российской Федерации )</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 Основные понятия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1.1. Экстремистская деятельность (экстремизм):</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насильственное изменение основ конституционного строя и нарушение целостности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публичное оправдание терроризма и иная террористическая деятельность;</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возбуждение социальной, расовой, национальной или религиозной розни;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совершение преступлений по мотивам, указанным в пункте «е» части первой статьи 63 Уголовного кодекса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организация и подготовка указанных деяний, а также подстрекательство к их осуществлению;</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1.2. Экстремистская организация: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xml:space="preserve">•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w:t>
      </w:r>
      <w:r w:rsidRPr="00383030">
        <w:rPr>
          <w:rFonts w:ascii="Times New Roman" w:hAnsi="Times New Roman" w:cs="Times New Roman"/>
          <w:sz w:val="24"/>
          <w:szCs w:val="24"/>
        </w:rPr>
        <w:lastRenderedPageBreak/>
        <w:t>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1.3. Экстремистские материалы:</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 Основные принципы противодействия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2.1. Противодействие экстремистской деятельности основывается на следующих принципах:</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признание, соблюдение и защита прав и свобод человека и гражданина, а равно законных интересов организации;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законность;</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гласность;</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приоритет обеспечения безопасности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приоритет мер, направленных на предупреждение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неотвратимость наказания за осуществление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3. Основные направления противодействия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3.1. Противодействие экстремистской деятельности осуществляется по следующим основным направлениям:</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4. Ответственность за осуществление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4.1. Ответственность за распространение экстремистских материалов.</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w:t>
      </w:r>
      <w:r w:rsidRPr="00383030">
        <w:rPr>
          <w:rFonts w:ascii="Times New Roman" w:hAnsi="Times New Roman" w:cs="Times New Roman"/>
          <w:sz w:val="24"/>
          <w:szCs w:val="24"/>
        </w:rPr>
        <w:lastRenderedPageBreak/>
        <w:t>распространение экстремистских материалов является правонарушением и влечет за собой ответственность.</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Одновременно с решением о признании информационных материалов экстремистскими судом принимается решение об их конфискации.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4.2. Ответственность должностных лиц, государственных и муниципальных служащих за осуществление ими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lastRenderedPageBreak/>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5. Запреты и недопущения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5.1. Недопущение использования сетей связи общего пользования для осуществления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Запрещается использование сетей связи общего пользования для осуществления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5.2. Недопущение осуществления экстремистской деятельности при проведении массовых акций</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lastRenderedPageBreak/>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6. Виды ответственности за осуществление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6.1. Административная ответственность</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Нарушение законодательства о свободе совести, свободе вероисповедания и о религиозных объединениях</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Злоупотребление свободой массовой информации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Пропаганда и публичное демонстрирование нацистской атрибутики или символики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w:t>
      </w:r>
      <w:r w:rsidRPr="00383030">
        <w:rPr>
          <w:rFonts w:ascii="Times New Roman" w:hAnsi="Times New Roman" w:cs="Times New Roman"/>
          <w:sz w:val="24"/>
          <w:szCs w:val="24"/>
        </w:rPr>
        <w:lastRenderedPageBreak/>
        <w:t>административный арест на срок до пятнадцати суток с конфискацией нацистской или иной указанной атрибутики или символики.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Производство и распространение экстремистских материалов</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6.2. Уголовная ответственность</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Обстоятельства, отягчающие наказание</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Воспрепятствование осуществлению права на свободу совести и вероисповеданий</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383030">
        <w:rPr>
          <w:rFonts w:ascii="Times New Roman" w:hAnsi="Times New Roman" w:cs="Times New Roman"/>
          <w:sz w:val="24"/>
          <w:szCs w:val="24"/>
        </w:rPr>
        <w:lastRenderedPageBreak/>
        <w:t>исправительными работами на срок до одного года, либо арестом на срок до трех месяцев (статья 148 Уголовного кодекса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Террористический акт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 Те же деяния: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а) совершенные группой лиц по предварительному сговору или организованной группой;</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б) повлекшие по неосторожности смерть человека;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3. Деяния, предусмотренные частями первой или второй настоящей статьи, если они: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Содействие террористической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w:t>
      </w:r>
      <w:r w:rsidRPr="00383030">
        <w:rPr>
          <w:rFonts w:ascii="Times New Roman" w:hAnsi="Times New Roman" w:cs="Times New Roman"/>
          <w:sz w:val="24"/>
          <w:szCs w:val="24"/>
        </w:rPr>
        <w:lastRenderedPageBreak/>
        <w:t>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Публичные призывы к осуществлению террористической деятельности или публичное оправдание терроризма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Заведомо ложное сообщение об акте терроризма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Массовые беспорядки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lastRenderedPageBreak/>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Хулиганство</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 Хулиганство, то есть грубое нарушение общественного порядка, выражающее явное неуважение к обществу, совершенное:</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а) с применением оружия или предметов, используемых в качестве оружия;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Публичные призывы к осуществлению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Диверсия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 Те же деяния: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а) совершенные организованной группой;</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lastRenderedPageBreak/>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Возбуждение ненависти либо вражды, а равно унижение человеческого достоинства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 Те же деяния, совершенные:</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а) с применением насилия или с угрозой его применения;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б) лицом с использованием своего служебного положения;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Организация экстремистского сообщества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lastRenderedPageBreak/>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Примечания.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Организация деятельности экстремистской организации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 </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ВНИМАНИЕ! </w:t>
      </w:r>
      <w:r w:rsidRPr="00383030">
        <w:rPr>
          <w:rFonts w:ascii="Times New Roman" w:hAnsi="Times New Roman" w:cs="Times New Roman"/>
          <w:sz w:val="24"/>
          <w:szCs w:val="24"/>
        </w:rPr>
        <w:br/>
        <w:t>Если Вы подвергаетесь физическому или моральному экстремистскому давлению вы должны и имеете право обратиться в органы милиции лично или по </w:t>
      </w:r>
      <w:r w:rsidRPr="00383030">
        <w:rPr>
          <w:rFonts w:ascii="Times New Roman" w:hAnsi="Times New Roman" w:cs="Times New Roman"/>
          <w:sz w:val="24"/>
          <w:szCs w:val="24"/>
        </w:rPr>
        <w:br/>
        <w:t>телефону 02</w:t>
      </w:r>
      <w:r w:rsidRPr="00383030">
        <w:rPr>
          <w:rFonts w:ascii="Times New Roman" w:hAnsi="Times New Roman" w:cs="Times New Roman"/>
          <w:sz w:val="24"/>
          <w:szCs w:val="24"/>
        </w:rPr>
        <w:br/>
        <w:t>Не допускайте насилия!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lastRenderedPageBreak/>
        <w:t>Российский опыт политико-правового регулирования системы противодействия экстремизму и терроризму</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(ст.ст.13,29).</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 ст. 2 говорится об основных принципах противодействия терроризму:</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lastRenderedPageBreak/>
        <w:t>«Противодействие терроризму в Российской Федерации основывается на следующих основных принципах:</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обеспечение и защита основных прав и свобод человека и гражданина;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законность;</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приоритет защиты прав и законных интересов лиц, подвергающихся террористической опасности;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неотвратимость наказания за осуществление террористической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приоритет мер предупреждения терроризма;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единоначалие в руководстве привлекаемыми силами и средствами при проведении контртеррористических операций;</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сочетание гласных и негласных методов противодействия терроризму;</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недопустимость политических уступок террористам;</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минимизация и (или) ликвидация последствий проявлений терроризма;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соразмерность мер противодействия терроризму степени террористической опасности».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Федеральные законы от 25 июля 2002 года — № 114-ФЗ «О противодействии экстремистской деятельности» и № 112-ФЗ«О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lastRenderedPageBreak/>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На принятие Россией международных обязательств в сфере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Федеральный закон от 7 августа 2000 года № 121-ФЗ «О ратификации Европейской Конвенции о пресечении терроризма»;Федеральный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Северо-Кавказского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lastRenderedPageBreak/>
        <w:t>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этносепаратизма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lastRenderedPageBreak/>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Общество еще не в полной мере осознало степень опасности этого явления для российской государственности, многонационального и поликонфессионального российского народа.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xml:space="preserve">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контроль за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w:t>
      </w:r>
      <w:r w:rsidRPr="00383030">
        <w:rPr>
          <w:rFonts w:ascii="Times New Roman" w:hAnsi="Times New Roman" w:cs="Times New Roman"/>
          <w:sz w:val="24"/>
          <w:szCs w:val="24"/>
        </w:rPr>
        <w:lastRenderedPageBreak/>
        <w:t>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Необходимо отметить, что в отечественной юридической литературе терроризм рассматривается как крайняя форма проявления экстремизма. 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Зарубежные исследователи выделяют следующие виды терроризма: психический и преступный (Дж. Белл); революционный, субреволюционный и репрессивный (П. Уилкинсон, Р. Шульц); ядерный, экономический, технологический, экологический и др.</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Наказание за терроризм по УК России. 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w:t>
      </w:r>
      <w:r w:rsidRPr="00383030">
        <w:rPr>
          <w:rFonts w:ascii="Times New Roman" w:hAnsi="Times New Roman" w:cs="Times New Roman"/>
          <w:sz w:val="24"/>
          <w:szCs w:val="24"/>
        </w:rPr>
        <w:lastRenderedPageBreak/>
        <w:t>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ч.ч.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показала правоприменительная практика указанных изменений оказалось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xml:space="preserve">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 борьбе с терроризмом. 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 5) нормативные правовые акты Президента РФ; 6) нормативные правовые акты </w:t>
      </w:r>
      <w:r w:rsidRPr="00383030">
        <w:rPr>
          <w:rFonts w:ascii="Times New Roman" w:hAnsi="Times New Roman" w:cs="Times New Roman"/>
          <w:sz w:val="24"/>
          <w:szCs w:val="24"/>
        </w:rPr>
        <w:lastRenderedPageBreak/>
        <w:t>Правительства РФ; 7) принимаемые в соответствии с ними нормативные правовые акты других федеральных органов государственной власти.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 число иных правовых источников, составляющих российское национальное антитеррористическое законодательство, входят:</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УК РФ, предусматривающий уголовную ответственность за совершение преступлений террористического характера;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Закон от 7 августа 2001 г. «О противодействии легализации (отмыванию) доходов, полученных преступным путем, и финансированию терроризма»;</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Указ Президента РФ от 17 декабря 1997 г. (в ред. Указа от 10 января 2000 г. № 24) «Об утверждении Концепции национальной безопасности Российской Федерации»;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383030" w:rsidRPr="00383030" w:rsidRDefault="00383030" w:rsidP="00383030">
      <w:pPr>
        <w:jc w:val="both"/>
        <w:rPr>
          <w:rFonts w:ascii="Times New Roman" w:hAnsi="Times New Roman" w:cs="Times New Roman"/>
          <w:sz w:val="24"/>
          <w:szCs w:val="24"/>
        </w:rPr>
      </w:pPr>
      <w:r w:rsidRPr="00383030">
        <w:rPr>
          <w:rFonts w:ascii="Times New Roman" w:hAnsi="Times New Roman" w:cs="Times New Roman"/>
          <w:sz w:val="24"/>
          <w:szCs w:val="24"/>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383030" w:rsidRPr="00383030" w:rsidRDefault="00383030" w:rsidP="00383030">
      <w:pPr>
        <w:jc w:val="both"/>
        <w:rPr>
          <w:rFonts w:ascii="Times New Roman" w:hAnsi="Times New Roman" w:cs="Times New Roman"/>
          <w:sz w:val="24"/>
          <w:szCs w:val="24"/>
        </w:rPr>
      </w:pPr>
    </w:p>
    <w:p w:rsidR="009871CD" w:rsidRDefault="009871CD"/>
    <w:sectPr w:rsidR="009871CD" w:rsidSect="000F0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83030"/>
    <w:rsid w:val="00383030"/>
    <w:rsid w:val="00987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9298</Words>
  <Characters>52999</Characters>
  <Application>Microsoft Office Word</Application>
  <DocSecurity>0</DocSecurity>
  <Lines>441</Lines>
  <Paragraphs>124</Paragraphs>
  <ScaleCrop>false</ScaleCrop>
  <Company>Microsoft</Company>
  <LinksUpToDate>false</LinksUpToDate>
  <CharactersWithSpaces>62173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2017-03-21T06:36:00Z</dcterms:created>
  <dcterms:modified xsi:type="dcterms:W3CDTF">2017-03-21T06:36:00Z</dcterms:modified>
</cp:coreProperties>
</file>